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0C" w:rsidRPr="002F7539" w:rsidRDefault="008845A2">
      <w:pPr>
        <w:rPr>
          <w:rFonts w:ascii="Arial" w:hAnsi="Arial" w:cs="Arial"/>
          <w:highlight w:val="yellow"/>
        </w:rPr>
      </w:pPr>
      <w:r w:rsidRPr="002F7539">
        <w:rPr>
          <w:rFonts w:ascii="Arial" w:hAnsi="Arial" w:cs="Arial"/>
          <w:highlight w:val="yellow"/>
        </w:rPr>
        <w:t>An das</w:t>
      </w:r>
    </w:p>
    <w:p w:rsidR="008845A2" w:rsidRPr="002F7539" w:rsidRDefault="008845A2">
      <w:pPr>
        <w:rPr>
          <w:rFonts w:ascii="Arial" w:hAnsi="Arial" w:cs="Arial"/>
        </w:rPr>
      </w:pPr>
      <w:r w:rsidRPr="002F7539">
        <w:rPr>
          <w:rFonts w:ascii="Arial" w:hAnsi="Arial" w:cs="Arial"/>
          <w:highlight w:val="yellow"/>
        </w:rPr>
        <w:t>Ministerium für …</w:t>
      </w:r>
    </w:p>
    <w:p w:rsidR="008845A2" w:rsidRPr="002F7539" w:rsidRDefault="008845A2">
      <w:pPr>
        <w:rPr>
          <w:rFonts w:ascii="Arial" w:hAnsi="Arial" w:cs="Arial"/>
        </w:rPr>
      </w:pPr>
    </w:p>
    <w:p w:rsidR="008845A2" w:rsidRPr="002F7539" w:rsidRDefault="008845A2">
      <w:pPr>
        <w:rPr>
          <w:rFonts w:ascii="Arial" w:hAnsi="Arial" w:cs="Arial"/>
        </w:rPr>
      </w:pPr>
    </w:p>
    <w:p w:rsidR="008845A2" w:rsidRPr="002F7539" w:rsidRDefault="008845A2" w:rsidP="00C102A7">
      <w:pPr>
        <w:jc w:val="both"/>
        <w:rPr>
          <w:rFonts w:ascii="Arial" w:hAnsi="Arial" w:cs="Arial"/>
          <w:b/>
        </w:rPr>
      </w:pPr>
      <w:r w:rsidRPr="002F7539">
        <w:rPr>
          <w:rFonts w:ascii="Arial" w:hAnsi="Arial" w:cs="Arial"/>
          <w:b/>
        </w:rPr>
        <w:t xml:space="preserve">Betreff: </w:t>
      </w:r>
      <w:r w:rsidR="00ED51B6" w:rsidRPr="002F7539">
        <w:rPr>
          <w:rFonts w:ascii="Arial" w:hAnsi="Arial" w:cs="Arial"/>
          <w:b/>
        </w:rPr>
        <w:t>„</w:t>
      </w:r>
      <w:proofErr w:type="spellStart"/>
      <w:r w:rsidR="00ED51B6" w:rsidRPr="002F7539">
        <w:rPr>
          <w:rFonts w:ascii="Arial" w:hAnsi="Arial" w:cs="Arial"/>
          <w:b/>
        </w:rPr>
        <w:t>Topf</w:t>
      </w:r>
      <w:proofErr w:type="spellEnd"/>
      <w:r w:rsidR="00ED51B6" w:rsidRPr="002F7539">
        <w:rPr>
          <w:rFonts w:ascii="Arial" w:hAnsi="Arial" w:cs="Arial"/>
          <w:b/>
        </w:rPr>
        <w:t xml:space="preserve"> Secret“: </w:t>
      </w:r>
      <w:r w:rsidRPr="002F7539">
        <w:rPr>
          <w:rFonts w:ascii="Arial" w:hAnsi="Arial" w:cs="Arial"/>
          <w:b/>
        </w:rPr>
        <w:t>Rechtsgutachten</w:t>
      </w:r>
      <w:r w:rsidR="00ED51B6" w:rsidRPr="002F7539">
        <w:rPr>
          <w:rFonts w:ascii="Arial" w:hAnsi="Arial" w:cs="Arial"/>
          <w:b/>
        </w:rPr>
        <w:t xml:space="preserve"> </w:t>
      </w:r>
      <w:r w:rsidRPr="002F7539">
        <w:rPr>
          <w:rFonts w:ascii="Arial" w:hAnsi="Arial" w:cs="Arial"/>
          <w:b/>
        </w:rPr>
        <w:t xml:space="preserve">beleuchtet die Mitverantwortung der Behörden und zeigt mögliche Ansprüche gegen </w:t>
      </w:r>
      <w:r w:rsidR="00751999">
        <w:rPr>
          <w:rFonts w:ascii="Arial" w:hAnsi="Arial" w:cs="Arial"/>
          <w:b/>
        </w:rPr>
        <w:t>Wettbewerber</w:t>
      </w:r>
      <w:r w:rsidR="00751999">
        <w:rPr>
          <w:rFonts w:ascii="Arial" w:hAnsi="Arial" w:cs="Arial"/>
          <w:b/>
        </w:rPr>
        <w:t>,</w:t>
      </w:r>
      <w:r w:rsidR="00751999" w:rsidRPr="002F7539">
        <w:rPr>
          <w:rFonts w:ascii="Arial" w:hAnsi="Arial" w:cs="Arial"/>
          <w:b/>
        </w:rPr>
        <w:t xml:space="preserve"> </w:t>
      </w:r>
      <w:r w:rsidRPr="002F7539">
        <w:rPr>
          <w:rFonts w:ascii="Arial" w:hAnsi="Arial" w:cs="Arial"/>
          <w:b/>
        </w:rPr>
        <w:t>Antragsteller</w:t>
      </w:r>
      <w:bookmarkStart w:id="0" w:name="_GoBack"/>
      <w:bookmarkEnd w:id="0"/>
      <w:r w:rsidR="000306A4">
        <w:rPr>
          <w:rFonts w:ascii="Arial" w:hAnsi="Arial" w:cs="Arial"/>
          <w:b/>
        </w:rPr>
        <w:t xml:space="preserve"> </w:t>
      </w:r>
      <w:r w:rsidRPr="002F7539">
        <w:rPr>
          <w:rFonts w:ascii="Arial" w:hAnsi="Arial" w:cs="Arial"/>
          <w:b/>
        </w:rPr>
        <w:t xml:space="preserve">und den </w:t>
      </w:r>
      <w:r w:rsidRPr="00C102A7">
        <w:rPr>
          <w:rFonts w:ascii="Arial" w:hAnsi="Arial" w:cs="Arial"/>
          <w:b/>
        </w:rPr>
        <w:t>Plattformbetreiber auf</w:t>
      </w:r>
      <w:r w:rsidR="00977C67" w:rsidRPr="00C102A7">
        <w:rPr>
          <w:rFonts w:ascii="Arial" w:hAnsi="Arial" w:cs="Arial"/>
          <w:b/>
        </w:rPr>
        <w:t xml:space="preserve"> / E</w:t>
      </w:r>
      <w:r w:rsidR="00ED51B6" w:rsidRPr="00C102A7">
        <w:rPr>
          <w:rFonts w:ascii="Arial" w:hAnsi="Arial" w:cs="Arial"/>
          <w:b/>
        </w:rPr>
        <w:t>rste Gerichtsbeschlüsse</w:t>
      </w:r>
      <w:r w:rsidR="001F3318">
        <w:rPr>
          <w:rFonts w:ascii="Arial" w:hAnsi="Arial" w:cs="Arial"/>
          <w:b/>
        </w:rPr>
        <w:t xml:space="preserve"> zu „Topf Secret“</w:t>
      </w:r>
      <w:r w:rsidR="00ED51B6" w:rsidRPr="00C102A7">
        <w:rPr>
          <w:rFonts w:ascii="Arial" w:hAnsi="Arial" w:cs="Arial"/>
          <w:b/>
        </w:rPr>
        <w:t xml:space="preserve"> bestätigen rechtliche Bedenken</w:t>
      </w:r>
      <w:r w:rsidR="00290E1E">
        <w:rPr>
          <w:rFonts w:ascii="Arial" w:hAnsi="Arial" w:cs="Arial"/>
          <w:b/>
        </w:rPr>
        <w:t xml:space="preserve"> des DEHOGA</w:t>
      </w:r>
    </w:p>
    <w:p w:rsidR="008845A2" w:rsidRPr="002F7539" w:rsidRDefault="008845A2">
      <w:pPr>
        <w:rPr>
          <w:rFonts w:ascii="Arial" w:hAnsi="Arial" w:cs="Arial"/>
        </w:rPr>
      </w:pPr>
    </w:p>
    <w:p w:rsidR="008845A2" w:rsidRPr="002F7539" w:rsidRDefault="008845A2">
      <w:pPr>
        <w:rPr>
          <w:rFonts w:ascii="Arial" w:hAnsi="Arial" w:cs="Arial"/>
        </w:rPr>
      </w:pPr>
      <w:r w:rsidRPr="002F7539">
        <w:rPr>
          <w:rFonts w:ascii="Arial" w:hAnsi="Arial" w:cs="Arial"/>
          <w:highlight w:val="yellow"/>
        </w:rPr>
        <w:t>Sehr geehrte Ministerin / Sehr geehrter Minister,</w:t>
      </w:r>
    </w:p>
    <w:p w:rsidR="008845A2" w:rsidRPr="002F7539" w:rsidRDefault="008845A2">
      <w:pPr>
        <w:rPr>
          <w:rFonts w:ascii="Arial" w:hAnsi="Arial" w:cs="Arial"/>
        </w:rPr>
      </w:pPr>
    </w:p>
    <w:p w:rsidR="00E93227" w:rsidRDefault="008845A2" w:rsidP="00E93227">
      <w:pPr>
        <w:jc w:val="both"/>
        <w:rPr>
          <w:rFonts w:ascii="Arial" w:hAnsi="Arial" w:cs="Arial"/>
        </w:rPr>
      </w:pPr>
      <w:r w:rsidRPr="002F7539">
        <w:rPr>
          <w:rFonts w:ascii="Arial" w:hAnsi="Arial" w:cs="Arial"/>
        </w:rPr>
        <w:t xml:space="preserve">mit Schreiben vom </w:t>
      </w:r>
      <w:r w:rsidRPr="002F7539">
        <w:rPr>
          <w:rFonts w:ascii="Arial" w:hAnsi="Arial" w:cs="Arial"/>
          <w:highlight w:val="yellow"/>
        </w:rPr>
        <w:t>[Datum]</w:t>
      </w:r>
      <w:r w:rsidRPr="002F7539">
        <w:rPr>
          <w:rFonts w:ascii="Arial" w:hAnsi="Arial" w:cs="Arial"/>
        </w:rPr>
        <w:t xml:space="preserve"> haben wir Sie auf das von </w:t>
      </w:r>
      <w:proofErr w:type="spellStart"/>
      <w:r w:rsidRPr="002F7539">
        <w:rPr>
          <w:rFonts w:ascii="Arial" w:hAnsi="Arial" w:cs="Arial"/>
        </w:rPr>
        <w:t>foodwatch</w:t>
      </w:r>
      <w:proofErr w:type="spellEnd"/>
      <w:r w:rsidRPr="002F7539">
        <w:rPr>
          <w:rFonts w:ascii="Arial" w:hAnsi="Arial" w:cs="Arial"/>
        </w:rPr>
        <w:t xml:space="preserve"> und </w:t>
      </w:r>
      <w:proofErr w:type="spellStart"/>
      <w:r w:rsidRPr="002F7539">
        <w:rPr>
          <w:rFonts w:ascii="Arial" w:hAnsi="Arial" w:cs="Arial"/>
        </w:rPr>
        <w:t>FragDenStaat</w:t>
      </w:r>
      <w:proofErr w:type="spellEnd"/>
      <w:r w:rsidRPr="002F7539">
        <w:rPr>
          <w:rFonts w:ascii="Arial" w:hAnsi="Arial" w:cs="Arial"/>
        </w:rPr>
        <w:t xml:space="preserve"> initiierte Internetportal „</w:t>
      </w:r>
      <w:proofErr w:type="spellStart"/>
      <w:r w:rsidRPr="002F7539">
        <w:rPr>
          <w:rFonts w:ascii="Arial" w:hAnsi="Arial" w:cs="Arial"/>
        </w:rPr>
        <w:t>Topf</w:t>
      </w:r>
      <w:proofErr w:type="spellEnd"/>
      <w:r w:rsidRPr="002F7539">
        <w:rPr>
          <w:rFonts w:ascii="Arial" w:hAnsi="Arial" w:cs="Arial"/>
        </w:rPr>
        <w:t xml:space="preserve"> Secret“ aufmerksam gemacht, welches mit Blick auf die hohe Grundrechtsbeeinträchtigung der betroffenen Unternehmen </w:t>
      </w:r>
      <w:r w:rsidR="00ED51B6" w:rsidRPr="002F7539">
        <w:rPr>
          <w:rFonts w:ascii="Arial" w:hAnsi="Arial" w:cs="Arial"/>
        </w:rPr>
        <w:t xml:space="preserve">als </w:t>
      </w:r>
      <w:r w:rsidR="00E809BF" w:rsidRPr="002F7539">
        <w:rPr>
          <w:rFonts w:ascii="Arial" w:hAnsi="Arial" w:cs="Arial"/>
        </w:rPr>
        <w:t>höchst bedenklich anzusehen ist und</w:t>
      </w:r>
      <w:r w:rsidRPr="002F7539">
        <w:rPr>
          <w:rFonts w:ascii="Arial" w:hAnsi="Arial" w:cs="Arial"/>
        </w:rPr>
        <w:t xml:space="preserve"> viele komplexe rechtliche Fragen aufwirft</w:t>
      </w:r>
      <w:r w:rsidR="00ED51B6" w:rsidRPr="002F7539">
        <w:rPr>
          <w:rFonts w:ascii="Arial" w:hAnsi="Arial" w:cs="Arial"/>
        </w:rPr>
        <w:t xml:space="preserve">. Mit diesem Schreiben übermitteln wir Ihnen nun ein vom DEHOGA Bundesverband in Auftrag gegebenes </w:t>
      </w:r>
      <w:r w:rsidR="00ED51B6" w:rsidRPr="00C102A7">
        <w:rPr>
          <w:rFonts w:ascii="Arial" w:hAnsi="Arial" w:cs="Arial"/>
          <w:b/>
        </w:rPr>
        <w:t>Rechtsgutachten der Kanzlei Gleiss Lutz</w:t>
      </w:r>
      <w:r w:rsidR="00ED51B6" w:rsidRPr="002F7539">
        <w:rPr>
          <w:rFonts w:ascii="Arial" w:hAnsi="Arial" w:cs="Arial"/>
        </w:rPr>
        <w:t xml:space="preserve">, welches die Mitverantwortung der Behörden und mögliche Ansprüche gegen </w:t>
      </w:r>
      <w:r w:rsidR="008622D7">
        <w:rPr>
          <w:rFonts w:ascii="Arial" w:hAnsi="Arial" w:cs="Arial"/>
        </w:rPr>
        <w:t xml:space="preserve">Wettbewerber, </w:t>
      </w:r>
      <w:r w:rsidR="00ED51B6" w:rsidRPr="002F7539">
        <w:rPr>
          <w:rFonts w:ascii="Arial" w:hAnsi="Arial" w:cs="Arial"/>
        </w:rPr>
        <w:t xml:space="preserve">Antragsteller und den Plattformbetreiber </w:t>
      </w:r>
      <w:r w:rsidR="00C102A7">
        <w:rPr>
          <w:rFonts w:ascii="Arial" w:hAnsi="Arial" w:cs="Arial"/>
        </w:rPr>
        <w:t>in Sachen „</w:t>
      </w:r>
      <w:proofErr w:type="spellStart"/>
      <w:r w:rsidR="00C102A7">
        <w:rPr>
          <w:rFonts w:ascii="Arial" w:hAnsi="Arial" w:cs="Arial"/>
        </w:rPr>
        <w:t>Topf</w:t>
      </w:r>
      <w:proofErr w:type="spellEnd"/>
      <w:r w:rsidR="00C102A7">
        <w:rPr>
          <w:rFonts w:ascii="Arial" w:hAnsi="Arial" w:cs="Arial"/>
        </w:rPr>
        <w:t xml:space="preserve"> Secret“ </w:t>
      </w:r>
      <w:r w:rsidR="00ED51B6" w:rsidRPr="002F7539">
        <w:rPr>
          <w:rFonts w:ascii="Arial" w:hAnsi="Arial" w:cs="Arial"/>
        </w:rPr>
        <w:t xml:space="preserve">beleuchtet. Wir bitten Sie darum, das Gutachten zur Kenntnis zur nehmen und </w:t>
      </w:r>
      <w:r w:rsidR="00875314">
        <w:rPr>
          <w:rFonts w:ascii="Arial" w:hAnsi="Arial" w:cs="Arial"/>
        </w:rPr>
        <w:t>die Schlussfolgerungen bei der Bescheidung von „</w:t>
      </w:r>
      <w:proofErr w:type="spellStart"/>
      <w:r w:rsidR="00875314">
        <w:rPr>
          <w:rFonts w:ascii="Arial" w:hAnsi="Arial" w:cs="Arial"/>
        </w:rPr>
        <w:t>Topf</w:t>
      </w:r>
      <w:proofErr w:type="spellEnd"/>
      <w:r w:rsidR="00875314">
        <w:rPr>
          <w:rFonts w:ascii="Arial" w:hAnsi="Arial" w:cs="Arial"/>
        </w:rPr>
        <w:t xml:space="preserve"> Secret“ Anträgen zu </w:t>
      </w:r>
      <w:r w:rsidR="005079C4">
        <w:rPr>
          <w:rFonts w:ascii="Arial" w:hAnsi="Arial" w:cs="Arial"/>
        </w:rPr>
        <w:t xml:space="preserve">würdigen und gegebenenfalls zu </w:t>
      </w:r>
      <w:r w:rsidR="00875314">
        <w:rPr>
          <w:rFonts w:ascii="Arial" w:hAnsi="Arial" w:cs="Arial"/>
        </w:rPr>
        <w:t>berücksichtigen</w:t>
      </w:r>
      <w:r w:rsidR="005422E6" w:rsidRPr="002F7539">
        <w:rPr>
          <w:rFonts w:ascii="Arial" w:hAnsi="Arial" w:cs="Arial"/>
        </w:rPr>
        <w:t>.</w:t>
      </w:r>
      <w:r w:rsidR="00AE6DB8" w:rsidRPr="002F7539">
        <w:rPr>
          <w:rFonts w:ascii="Arial" w:hAnsi="Arial" w:cs="Arial"/>
        </w:rPr>
        <w:t xml:space="preserve"> </w:t>
      </w:r>
    </w:p>
    <w:p w:rsidR="0046702A" w:rsidRDefault="00E93227" w:rsidP="002C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Ergebniszusammenfassung </w:t>
      </w:r>
      <w:r w:rsidR="00E232C0">
        <w:rPr>
          <w:rFonts w:ascii="Arial" w:hAnsi="Arial" w:cs="Arial"/>
        </w:rPr>
        <w:t>finden Sie auf den Seiten 4 – 11</w:t>
      </w:r>
      <w:r>
        <w:rPr>
          <w:rFonts w:ascii="Arial" w:hAnsi="Arial" w:cs="Arial"/>
        </w:rPr>
        <w:t xml:space="preserve"> des Gutachtens. Bezüglich der rechtlichen Details verweisen wir auf die Seiten 11 – 66.</w:t>
      </w:r>
    </w:p>
    <w:p w:rsidR="008845A2" w:rsidRDefault="00AE6DB8" w:rsidP="002C40CF">
      <w:pPr>
        <w:jc w:val="both"/>
        <w:rPr>
          <w:rFonts w:ascii="Arial" w:hAnsi="Arial" w:cs="Arial"/>
        </w:rPr>
      </w:pPr>
      <w:r w:rsidRPr="002F7539">
        <w:rPr>
          <w:rFonts w:ascii="Arial" w:hAnsi="Arial" w:cs="Arial"/>
        </w:rPr>
        <w:t>Wir möchten Sie außerdem darauf hinweisen, dass sowohl das Verwaltungsgericht Regensburg</w:t>
      </w:r>
      <w:r w:rsidR="00E93227">
        <w:rPr>
          <w:rFonts w:ascii="Arial" w:hAnsi="Arial" w:cs="Arial"/>
        </w:rPr>
        <w:t xml:space="preserve"> mit Beschluss vom </w:t>
      </w:r>
      <w:r w:rsidR="006476B5">
        <w:rPr>
          <w:rFonts w:ascii="Arial" w:hAnsi="Arial" w:cs="Arial"/>
        </w:rPr>
        <w:t xml:space="preserve"> </w:t>
      </w:r>
      <w:r w:rsidR="00E93227">
        <w:rPr>
          <w:rFonts w:ascii="Arial" w:hAnsi="Arial" w:cs="Arial"/>
        </w:rPr>
        <w:t xml:space="preserve">15.03.2019 </w:t>
      </w:r>
      <w:r w:rsidR="006476B5">
        <w:rPr>
          <w:rFonts w:ascii="Arial" w:hAnsi="Arial" w:cs="Arial"/>
        </w:rPr>
        <w:t>(Az. RN 5 S 19.189)</w:t>
      </w:r>
      <w:r w:rsidRPr="002F7539">
        <w:rPr>
          <w:rFonts w:ascii="Arial" w:hAnsi="Arial" w:cs="Arial"/>
        </w:rPr>
        <w:t xml:space="preserve"> als auch das Verwaltungsgericht Würzburg</w:t>
      </w:r>
      <w:r w:rsidR="00E93227">
        <w:rPr>
          <w:rFonts w:ascii="Arial" w:hAnsi="Arial" w:cs="Arial"/>
        </w:rPr>
        <w:t xml:space="preserve"> mit Beschluss vom 03.04.2019</w:t>
      </w:r>
      <w:r w:rsidR="006476B5">
        <w:rPr>
          <w:rFonts w:ascii="Arial" w:hAnsi="Arial" w:cs="Arial"/>
        </w:rPr>
        <w:t xml:space="preserve"> (Az. W 8 S 19.239)</w:t>
      </w:r>
      <w:r w:rsidRPr="002F7539">
        <w:rPr>
          <w:rFonts w:ascii="Arial" w:hAnsi="Arial" w:cs="Arial"/>
        </w:rPr>
        <w:t xml:space="preserve"> </w:t>
      </w:r>
      <w:r w:rsidR="000B6197" w:rsidRPr="002F7539">
        <w:rPr>
          <w:rFonts w:ascii="Arial" w:hAnsi="Arial" w:cs="Arial"/>
        </w:rPr>
        <w:t>unsere rechtlichen Bedenken zum Portal in vorläufigen Rechtsschutzverfahren aufgegriffen haben und gemäß den Anträgen der betroffenen Betriebe die aufschiebende Wirkung der Klagen angeordnet haben.</w:t>
      </w:r>
    </w:p>
    <w:p w:rsidR="005422E6" w:rsidRPr="005079C4" w:rsidRDefault="000B6197" w:rsidP="00F24EDD">
      <w:pPr>
        <w:jc w:val="both"/>
        <w:rPr>
          <w:rFonts w:ascii="Arial" w:hAnsi="Arial" w:cs="Arial"/>
          <w:b/>
        </w:rPr>
      </w:pPr>
      <w:r w:rsidRPr="005079C4">
        <w:rPr>
          <w:rFonts w:ascii="Arial" w:hAnsi="Arial" w:cs="Arial"/>
          <w:b/>
        </w:rPr>
        <w:t>Das Rechtsg</w:t>
      </w:r>
      <w:r w:rsidR="00967668" w:rsidRPr="005079C4">
        <w:rPr>
          <w:rFonts w:ascii="Arial" w:hAnsi="Arial" w:cs="Arial"/>
          <w:b/>
        </w:rPr>
        <w:t xml:space="preserve">utachten kommt </w:t>
      </w:r>
      <w:r w:rsidR="000B60A6" w:rsidRPr="005079C4">
        <w:rPr>
          <w:rFonts w:ascii="Arial" w:hAnsi="Arial" w:cs="Arial"/>
          <w:b/>
        </w:rPr>
        <w:t>hinsichtlich der behördlich zu beachtenden Maßgaben</w:t>
      </w:r>
      <w:r w:rsidR="006476B5" w:rsidRPr="005079C4">
        <w:rPr>
          <w:rFonts w:ascii="Arial" w:hAnsi="Arial" w:cs="Arial"/>
          <w:b/>
        </w:rPr>
        <w:t xml:space="preserve"> bei über die Plattform „</w:t>
      </w:r>
      <w:proofErr w:type="spellStart"/>
      <w:r w:rsidR="006476B5" w:rsidRPr="005079C4">
        <w:rPr>
          <w:rFonts w:ascii="Arial" w:hAnsi="Arial" w:cs="Arial"/>
          <w:b/>
        </w:rPr>
        <w:t>Topf</w:t>
      </w:r>
      <w:proofErr w:type="spellEnd"/>
      <w:r w:rsidR="006476B5" w:rsidRPr="005079C4">
        <w:rPr>
          <w:rFonts w:ascii="Arial" w:hAnsi="Arial" w:cs="Arial"/>
          <w:b/>
        </w:rPr>
        <w:t xml:space="preserve"> Secret“ gestellten VIG-Anträgen</w:t>
      </w:r>
      <w:r w:rsidR="000B60A6" w:rsidRPr="005079C4">
        <w:rPr>
          <w:rFonts w:ascii="Arial" w:hAnsi="Arial" w:cs="Arial"/>
          <w:b/>
        </w:rPr>
        <w:t xml:space="preserve"> </w:t>
      </w:r>
      <w:r w:rsidR="00967668" w:rsidRPr="005079C4">
        <w:rPr>
          <w:rFonts w:ascii="Arial" w:hAnsi="Arial" w:cs="Arial"/>
          <w:b/>
        </w:rPr>
        <w:t>zu folgenden wesentlichen Ergebnissen:</w:t>
      </w:r>
      <w:r w:rsidR="005422E6" w:rsidRPr="005079C4">
        <w:rPr>
          <w:rFonts w:ascii="Arial" w:hAnsi="Arial" w:cs="Arial"/>
          <w:b/>
        </w:rPr>
        <w:t xml:space="preserve"> </w:t>
      </w:r>
    </w:p>
    <w:p w:rsidR="006450E4" w:rsidRDefault="006450E4" w:rsidP="006450E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F7539">
        <w:rPr>
          <w:rFonts w:ascii="Arial" w:hAnsi="Arial" w:cs="Arial"/>
        </w:rPr>
        <w:t>Auskunftsanträge, die sich auf von Einzelinhaber</w:t>
      </w:r>
      <w:r>
        <w:rPr>
          <w:rFonts w:ascii="Arial" w:hAnsi="Arial" w:cs="Arial"/>
        </w:rPr>
        <w:t>n</w:t>
      </w:r>
      <w:r w:rsidRPr="002F7539">
        <w:rPr>
          <w:rFonts w:ascii="Arial" w:hAnsi="Arial" w:cs="Arial"/>
        </w:rPr>
        <w:t>, Ein-Mann-GmbHs oder vergleichbaren juristischen  Personen geführte Gastronomiebetriebe beziehen (insbesondere kleinere GbRs oder OHGs), schließen immer auch den Zugang zu personenbezogenen Daten ein und unterfallen deshalb dem Ausschlussgrund de</w:t>
      </w:r>
      <w:r>
        <w:rPr>
          <w:rFonts w:ascii="Arial" w:hAnsi="Arial" w:cs="Arial"/>
        </w:rPr>
        <w:t xml:space="preserve">s § 3 Satz 1 Nr. 2a VIG. Eine Herausgabe der Informationen ist in solchen Fällen gesetzlich ausgeschlossen. </w:t>
      </w:r>
    </w:p>
    <w:p w:rsidR="006450E4" w:rsidRPr="006450E4" w:rsidRDefault="006450E4" w:rsidP="006450E4">
      <w:pPr>
        <w:pStyle w:val="Listenabsatz"/>
        <w:ind w:left="360"/>
        <w:jc w:val="both"/>
        <w:rPr>
          <w:rFonts w:ascii="Arial" w:hAnsi="Arial" w:cs="Arial"/>
        </w:rPr>
      </w:pPr>
    </w:p>
    <w:p w:rsidR="00967668" w:rsidRDefault="00967668" w:rsidP="002C40C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F7539">
        <w:rPr>
          <w:rFonts w:ascii="Arial" w:hAnsi="Arial" w:cs="Arial"/>
        </w:rPr>
        <w:lastRenderedPageBreak/>
        <w:t>Die Vorgaben des Bundesverfassungsgerichts und des Gesetzgebers zu § 40 Abs. 1a LFGB sind von der zuständigen Behörde auch zu beachten, wenn über einen Antrag nach § 2 Abs. 1 Satz 1 Nr. 1 VIG entschieden wird und der Antragsteller erkennbar beabsichtigt, die erhaltenen Informationen über eine allgemein zugängliche Plattform, wie etwa „</w:t>
      </w:r>
      <w:proofErr w:type="spellStart"/>
      <w:r w:rsidRPr="002F7539">
        <w:rPr>
          <w:rFonts w:ascii="Arial" w:hAnsi="Arial" w:cs="Arial"/>
        </w:rPr>
        <w:t>Topf</w:t>
      </w:r>
      <w:proofErr w:type="spellEnd"/>
      <w:r w:rsidRPr="002F7539">
        <w:rPr>
          <w:rFonts w:ascii="Arial" w:hAnsi="Arial" w:cs="Arial"/>
        </w:rPr>
        <w:t xml:space="preserve"> Secret“</w:t>
      </w:r>
      <w:r w:rsidR="006450E4">
        <w:rPr>
          <w:rFonts w:ascii="Arial" w:hAnsi="Arial" w:cs="Arial"/>
        </w:rPr>
        <w:t>,</w:t>
      </w:r>
      <w:r w:rsidRPr="002F7539">
        <w:rPr>
          <w:rFonts w:ascii="Arial" w:hAnsi="Arial" w:cs="Arial"/>
        </w:rPr>
        <w:t xml:space="preserve"> im Internet zu verbreiten</w:t>
      </w:r>
      <w:r w:rsidR="002F7539" w:rsidRPr="002F7539">
        <w:rPr>
          <w:rFonts w:ascii="Arial" w:hAnsi="Arial" w:cs="Arial"/>
        </w:rPr>
        <w:t xml:space="preserve"> (d</w:t>
      </w:r>
      <w:r w:rsidR="000B60A6" w:rsidRPr="002F7539">
        <w:rPr>
          <w:rFonts w:ascii="Arial" w:hAnsi="Arial" w:cs="Arial"/>
        </w:rPr>
        <w:t xml:space="preserve">ies ist bei VIG-Anträgen </w:t>
      </w:r>
      <w:r w:rsidR="002F7539" w:rsidRPr="002F7539">
        <w:rPr>
          <w:rFonts w:ascii="Arial" w:hAnsi="Arial" w:cs="Arial"/>
        </w:rPr>
        <w:t>über „</w:t>
      </w:r>
      <w:proofErr w:type="spellStart"/>
      <w:r w:rsidR="002F7539" w:rsidRPr="002F7539">
        <w:rPr>
          <w:rFonts w:ascii="Arial" w:hAnsi="Arial" w:cs="Arial"/>
        </w:rPr>
        <w:t>Topf</w:t>
      </w:r>
      <w:proofErr w:type="spellEnd"/>
      <w:r w:rsidR="002F7539" w:rsidRPr="002F7539">
        <w:rPr>
          <w:rFonts w:ascii="Arial" w:hAnsi="Arial" w:cs="Arial"/>
        </w:rPr>
        <w:t xml:space="preserve"> Secret“ </w:t>
      </w:r>
      <w:r w:rsidR="000B60A6" w:rsidRPr="002F7539">
        <w:rPr>
          <w:rFonts w:ascii="Arial" w:hAnsi="Arial" w:cs="Arial"/>
        </w:rPr>
        <w:t>regelmäßig der Fall und</w:t>
      </w:r>
      <w:r w:rsidR="002F7539" w:rsidRPr="002F7539">
        <w:rPr>
          <w:rFonts w:ascii="Arial" w:hAnsi="Arial" w:cs="Arial"/>
        </w:rPr>
        <w:t xml:space="preserve"> für die Behörde</w:t>
      </w:r>
      <w:r w:rsidR="000B60A6" w:rsidRPr="002F7539">
        <w:rPr>
          <w:rFonts w:ascii="Arial" w:hAnsi="Arial" w:cs="Arial"/>
        </w:rPr>
        <w:t xml:space="preserve"> aufgrund der</w:t>
      </w:r>
      <w:r w:rsidR="002F7539" w:rsidRPr="002F7539">
        <w:rPr>
          <w:rFonts w:ascii="Arial" w:hAnsi="Arial" w:cs="Arial"/>
        </w:rPr>
        <w:t xml:space="preserve"> eindeutigen durch </w:t>
      </w:r>
      <w:proofErr w:type="spellStart"/>
      <w:r w:rsidR="002F7539" w:rsidRPr="002F7539">
        <w:rPr>
          <w:rFonts w:ascii="Arial" w:hAnsi="Arial" w:cs="Arial"/>
        </w:rPr>
        <w:t>FragDenStaat</w:t>
      </w:r>
      <w:proofErr w:type="spellEnd"/>
      <w:r w:rsidR="002F7539" w:rsidRPr="002F7539">
        <w:rPr>
          <w:rFonts w:ascii="Arial" w:hAnsi="Arial" w:cs="Arial"/>
        </w:rPr>
        <w:t xml:space="preserve"> generierten E-Mail Adresse auch erkennbar)</w:t>
      </w:r>
      <w:r w:rsidR="002F7539">
        <w:rPr>
          <w:rFonts w:ascii="Arial" w:hAnsi="Arial" w:cs="Arial"/>
        </w:rPr>
        <w:t xml:space="preserve">. </w:t>
      </w:r>
      <w:r w:rsidR="00837DB2" w:rsidRPr="002F7539">
        <w:rPr>
          <w:rFonts w:ascii="Arial" w:hAnsi="Arial" w:cs="Arial"/>
        </w:rPr>
        <w:t xml:space="preserve">Dies führt dazu, dass sowohl die </w:t>
      </w:r>
      <w:r w:rsidR="002F7539" w:rsidRPr="002F7539">
        <w:rPr>
          <w:rFonts w:ascii="Arial" w:hAnsi="Arial" w:cs="Arial"/>
        </w:rPr>
        <w:t>in § 40 Abs. 4a LFGB (n.F.</w:t>
      </w:r>
      <w:r w:rsidR="003317E1">
        <w:rPr>
          <w:rStyle w:val="Funotenzeichen"/>
          <w:rFonts w:ascii="Arial" w:hAnsi="Arial" w:cs="Arial"/>
        </w:rPr>
        <w:footnoteReference w:id="1"/>
      </w:r>
      <w:r w:rsidR="002F7539" w:rsidRPr="002F7539">
        <w:rPr>
          <w:rFonts w:ascii="Arial" w:hAnsi="Arial" w:cs="Arial"/>
        </w:rPr>
        <w:t>)</w:t>
      </w:r>
      <w:r w:rsidR="00837DB2" w:rsidRPr="002F7539">
        <w:rPr>
          <w:rFonts w:ascii="Arial" w:hAnsi="Arial" w:cs="Arial"/>
        </w:rPr>
        <w:t xml:space="preserve"> geregelte 6-Monatsfrist für Veröffentlichungen und auch die sonstigen Voraussetzungen des § 40 Abs. 1a LFGB (Beschränkung der Information auf erhebliche Verstöße analog § 40 Abs. 1a LFGB</w:t>
      </w:r>
      <w:r w:rsidR="0046702A">
        <w:rPr>
          <w:rFonts w:ascii="Arial" w:hAnsi="Arial" w:cs="Arial"/>
        </w:rPr>
        <w:t>, u.a. Beachtung der 350€ Bagatellgrenze</w:t>
      </w:r>
      <w:r w:rsidR="00837DB2" w:rsidRPr="002F7539">
        <w:rPr>
          <w:rFonts w:ascii="Arial" w:hAnsi="Arial" w:cs="Arial"/>
        </w:rPr>
        <w:t xml:space="preserve">) </w:t>
      </w:r>
      <w:r w:rsidR="002C40CF" w:rsidRPr="002F7539">
        <w:rPr>
          <w:rFonts w:ascii="Arial" w:hAnsi="Arial" w:cs="Arial"/>
        </w:rPr>
        <w:t xml:space="preserve">auf die Bereitstellung von </w:t>
      </w:r>
      <w:r w:rsidR="00527BB8">
        <w:rPr>
          <w:rFonts w:ascii="Arial" w:hAnsi="Arial" w:cs="Arial"/>
        </w:rPr>
        <w:t>VIG-</w:t>
      </w:r>
      <w:r w:rsidR="002C40CF" w:rsidRPr="002F7539">
        <w:rPr>
          <w:rFonts w:ascii="Arial" w:hAnsi="Arial" w:cs="Arial"/>
        </w:rPr>
        <w:t xml:space="preserve">Auskünften zu </w:t>
      </w:r>
      <w:r w:rsidR="00924F26">
        <w:rPr>
          <w:rFonts w:ascii="Arial" w:hAnsi="Arial" w:cs="Arial"/>
        </w:rPr>
        <w:t xml:space="preserve">übertragen sind, sofern die </w:t>
      </w:r>
      <w:r w:rsidR="002C40CF" w:rsidRPr="002F7539">
        <w:rPr>
          <w:rFonts w:ascii="Arial" w:hAnsi="Arial" w:cs="Arial"/>
        </w:rPr>
        <w:t>Anträge über „</w:t>
      </w:r>
      <w:proofErr w:type="spellStart"/>
      <w:r w:rsidR="002C40CF" w:rsidRPr="002F7539">
        <w:rPr>
          <w:rFonts w:ascii="Arial" w:hAnsi="Arial" w:cs="Arial"/>
        </w:rPr>
        <w:t>Topf</w:t>
      </w:r>
      <w:proofErr w:type="spellEnd"/>
      <w:r w:rsidR="002C40CF" w:rsidRPr="002F7539">
        <w:rPr>
          <w:rFonts w:ascii="Arial" w:hAnsi="Arial" w:cs="Arial"/>
        </w:rPr>
        <w:t xml:space="preserve"> Secret“ gestellt werden.</w:t>
      </w:r>
    </w:p>
    <w:p w:rsidR="00EB0EF3" w:rsidRPr="00A47620" w:rsidRDefault="00EB0EF3" w:rsidP="00EB0EF3">
      <w:pPr>
        <w:pStyle w:val="Listenabsatz"/>
        <w:ind w:left="360"/>
        <w:jc w:val="both"/>
        <w:rPr>
          <w:rFonts w:ascii="Arial" w:hAnsi="Arial" w:cs="Arial"/>
          <w:color w:val="FF0000"/>
        </w:rPr>
      </w:pPr>
    </w:p>
    <w:p w:rsidR="009B3E81" w:rsidRDefault="00751817" w:rsidP="008622D7">
      <w:pPr>
        <w:pStyle w:val="Listenabsatz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B3E81">
        <w:rPr>
          <w:rFonts w:ascii="Arial" w:hAnsi="Arial" w:cs="Arial"/>
          <w:u w:val="single"/>
        </w:rPr>
        <w:t>Das heißt:</w:t>
      </w:r>
      <w:r w:rsidRPr="009B3E81">
        <w:rPr>
          <w:rFonts w:ascii="Arial" w:hAnsi="Arial" w:cs="Arial"/>
        </w:rPr>
        <w:t xml:space="preserve"> </w:t>
      </w:r>
      <w:r w:rsidR="005079C4">
        <w:rPr>
          <w:rFonts w:ascii="Arial" w:hAnsi="Arial" w:cs="Arial"/>
        </w:rPr>
        <w:t>Laut dem Ergebnis des Gutachtens muss die Behörde</w:t>
      </w:r>
      <w:r w:rsidR="009108CF">
        <w:rPr>
          <w:rFonts w:ascii="Arial" w:hAnsi="Arial" w:cs="Arial"/>
        </w:rPr>
        <w:t>,</w:t>
      </w:r>
      <w:r w:rsidRPr="009B3E81">
        <w:rPr>
          <w:rFonts w:ascii="Arial" w:hAnsi="Arial" w:cs="Arial"/>
        </w:rPr>
        <w:t xml:space="preserve"> </w:t>
      </w:r>
      <w:r w:rsidR="009108CF" w:rsidRPr="009B3E81">
        <w:rPr>
          <w:rFonts w:ascii="Arial" w:hAnsi="Arial" w:cs="Arial"/>
        </w:rPr>
        <w:t>sofern die Herausgabe überhaupt zulässig ist</w:t>
      </w:r>
      <w:r w:rsidR="009108CF">
        <w:rPr>
          <w:rFonts w:ascii="Arial" w:hAnsi="Arial" w:cs="Arial"/>
        </w:rPr>
        <w:t>,</w:t>
      </w:r>
      <w:r w:rsidR="009108CF" w:rsidRPr="009B3E81">
        <w:rPr>
          <w:rFonts w:ascii="Arial" w:hAnsi="Arial" w:cs="Arial"/>
        </w:rPr>
        <w:t xml:space="preserve"> </w:t>
      </w:r>
      <w:r w:rsidR="009B3E81" w:rsidRPr="009B3E81">
        <w:rPr>
          <w:rFonts w:ascii="Arial" w:hAnsi="Arial" w:cs="Arial"/>
        </w:rPr>
        <w:t xml:space="preserve">hinsichtlich solcher Informationen im Sinne von § 2 Abs. 1 Satz 1 Nr. 1 VIG, die vor mehr als 6 Monaten seit der Antragstellung entstanden sind, </w:t>
      </w:r>
      <w:r w:rsidRPr="009B3E81">
        <w:rPr>
          <w:rFonts w:ascii="Arial" w:hAnsi="Arial" w:cs="Arial"/>
        </w:rPr>
        <w:t xml:space="preserve">durch </w:t>
      </w:r>
      <w:r w:rsidRPr="009B3E81">
        <w:rPr>
          <w:rFonts w:ascii="Arial" w:hAnsi="Arial" w:cs="Arial"/>
          <w:b/>
        </w:rPr>
        <w:t>Auflagen im Herausgabebescheid</w:t>
      </w:r>
      <w:r w:rsidRPr="009B3E81">
        <w:rPr>
          <w:rFonts w:ascii="Arial" w:hAnsi="Arial" w:cs="Arial"/>
        </w:rPr>
        <w:t xml:space="preserve"> </w:t>
      </w:r>
      <w:r w:rsidR="009B3E81" w:rsidRPr="009B3E81">
        <w:rPr>
          <w:rFonts w:ascii="Arial" w:hAnsi="Arial" w:cs="Arial"/>
        </w:rPr>
        <w:t xml:space="preserve">gegenüber dem jeweiligen Antragsteller </w:t>
      </w:r>
      <w:r w:rsidR="005079C4">
        <w:rPr>
          <w:rFonts w:ascii="Arial" w:hAnsi="Arial" w:cs="Arial"/>
        </w:rPr>
        <w:t>sicher</w:t>
      </w:r>
      <w:r w:rsidRPr="009B3E81">
        <w:rPr>
          <w:rFonts w:ascii="Arial" w:hAnsi="Arial" w:cs="Arial"/>
        </w:rPr>
        <w:t>stellen,</w:t>
      </w:r>
      <w:r w:rsidR="009B3E81" w:rsidRPr="009B3E81">
        <w:rPr>
          <w:rFonts w:ascii="Arial" w:hAnsi="Arial" w:cs="Arial"/>
        </w:rPr>
        <w:t xml:space="preserve"> dass eine Veröffentlichung nicht erfolgt. Ferner hat sie</w:t>
      </w:r>
      <w:r w:rsidR="009B3E81">
        <w:rPr>
          <w:rFonts w:ascii="Arial" w:hAnsi="Arial" w:cs="Arial"/>
        </w:rPr>
        <w:t>,</w:t>
      </w:r>
      <w:r w:rsidR="009B3E81" w:rsidRPr="009B3E81">
        <w:rPr>
          <w:rFonts w:ascii="Arial" w:hAnsi="Arial" w:cs="Arial"/>
        </w:rPr>
        <w:t xml:space="preserve"> </w:t>
      </w:r>
      <w:r w:rsidR="009B3E81">
        <w:rPr>
          <w:rFonts w:ascii="Arial" w:hAnsi="Arial" w:cs="Arial"/>
        </w:rPr>
        <w:t>sofern die 6 Monatsfrist zum Zeitpunkt der Herausgabe noch nicht abgelaufen ist</w:t>
      </w:r>
      <w:r w:rsidR="002C56DF">
        <w:rPr>
          <w:rFonts w:ascii="Arial" w:hAnsi="Arial" w:cs="Arial"/>
        </w:rPr>
        <w:t>,</w:t>
      </w:r>
      <w:r w:rsidR="009B3E81" w:rsidRPr="009B3E81">
        <w:rPr>
          <w:rFonts w:ascii="Arial" w:hAnsi="Arial" w:cs="Arial"/>
        </w:rPr>
        <w:t xml:space="preserve"> sicherzustellen</w:t>
      </w:r>
      <w:r w:rsidR="009B3E81">
        <w:rPr>
          <w:rFonts w:ascii="Arial" w:hAnsi="Arial" w:cs="Arial"/>
        </w:rPr>
        <w:t>,</w:t>
      </w:r>
      <w:r w:rsidR="009B3E81" w:rsidRPr="009B3E81">
        <w:rPr>
          <w:rFonts w:ascii="Arial" w:hAnsi="Arial" w:cs="Arial"/>
        </w:rPr>
        <w:t xml:space="preserve"> dass</w:t>
      </w:r>
      <w:r w:rsidR="009B3E81">
        <w:rPr>
          <w:rFonts w:ascii="Arial" w:hAnsi="Arial" w:cs="Arial"/>
        </w:rPr>
        <w:t xml:space="preserve"> </w:t>
      </w:r>
      <w:r w:rsidR="009B3E81" w:rsidRPr="009B3E81">
        <w:rPr>
          <w:rFonts w:ascii="Arial" w:hAnsi="Arial" w:cs="Arial"/>
        </w:rPr>
        <w:t>durch den Antragsteller veröffentlichte Informationen spätestens sechs Monate nach ihrer Entstehung vollständig zu löschen sind.</w:t>
      </w:r>
      <w:r w:rsidR="00EB0EF3" w:rsidRPr="009B3E81">
        <w:rPr>
          <w:rFonts w:ascii="Arial" w:hAnsi="Arial" w:cs="Arial"/>
        </w:rPr>
        <w:t xml:space="preserve"> </w:t>
      </w:r>
    </w:p>
    <w:p w:rsidR="009B3E81" w:rsidRDefault="009B3E81" w:rsidP="009B3E81">
      <w:pPr>
        <w:pStyle w:val="Listenabsatz"/>
        <w:ind w:left="1080"/>
        <w:jc w:val="both"/>
        <w:rPr>
          <w:rFonts w:ascii="Arial" w:hAnsi="Arial" w:cs="Arial"/>
        </w:rPr>
      </w:pPr>
    </w:p>
    <w:p w:rsidR="00AC02FB" w:rsidRDefault="0046702A" w:rsidP="009B3E81">
      <w:pPr>
        <w:pStyle w:val="Listenabsatz"/>
        <w:ind w:left="1080"/>
        <w:jc w:val="both"/>
        <w:rPr>
          <w:rFonts w:ascii="Arial" w:hAnsi="Arial" w:cs="Arial"/>
        </w:rPr>
      </w:pPr>
      <w:r w:rsidRPr="009B3E81">
        <w:rPr>
          <w:rFonts w:ascii="Arial" w:hAnsi="Arial" w:cs="Arial"/>
        </w:rPr>
        <w:t xml:space="preserve">Auch die </w:t>
      </w:r>
      <w:r w:rsidR="00D108A7" w:rsidRPr="009B3E81">
        <w:rPr>
          <w:rFonts w:ascii="Arial" w:hAnsi="Arial" w:cs="Arial"/>
        </w:rPr>
        <w:t xml:space="preserve">Anforderungen an </w:t>
      </w:r>
      <w:r w:rsidR="006476B5" w:rsidRPr="009B3E81">
        <w:rPr>
          <w:rFonts w:ascii="Arial" w:hAnsi="Arial" w:cs="Arial"/>
        </w:rPr>
        <w:t xml:space="preserve">private </w:t>
      </w:r>
      <w:r w:rsidR="00D108A7" w:rsidRPr="009B3E81">
        <w:rPr>
          <w:rFonts w:ascii="Arial" w:hAnsi="Arial" w:cs="Arial"/>
        </w:rPr>
        <w:t>Veröffentlichungen analog § 40 Abs. 1a LFGB müssen</w:t>
      </w:r>
      <w:r w:rsidR="009108CF">
        <w:rPr>
          <w:rFonts w:ascii="Arial" w:hAnsi="Arial" w:cs="Arial"/>
        </w:rPr>
        <w:t xml:space="preserve"> </w:t>
      </w:r>
      <w:r w:rsidR="00C50C5B">
        <w:rPr>
          <w:rFonts w:ascii="Arial" w:hAnsi="Arial" w:cs="Arial"/>
        </w:rPr>
        <w:t xml:space="preserve">gemäß dem Gutachten </w:t>
      </w:r>
      <w:r w:rsidR="00EB0EF3" w:rsidRPr="009B3E81">
        <w:rPr>
          <w:rFonts w:ascii="Arial" w:hAnsi="Arial" w:cs="Arial"/>
        </w:rPr>
        <w:t>durch die zuständigen Behörden mittels Auflagen gesichert werden</w:t>
      </w:r>
    </w:p>
    <w:p w:rsidR="002C51BF" w:rsidRDefault="002C51BF" w:rsidP="009B3E81">
      <w:pPr>
        <w:pStyle w:val="Listenabsatz"/>
        <w:ind w:left="1080"/>
        <w:jc w:val="both"/>
        <w:rPr>
          <w:rFonts w:ascii="Arial" w:hAnsi="Arial" w:cs="Arial"/>
        </w:rPr>
      </w:pPr>
    </w:p>
    <w:p w:rsidR="00EB0EF3" w:rsidRPr="009B3E81" w:rsidRDefault="001A483D" w:rsidP="009B3E81">
      <w:pPr>
        <w:pStyle w:val="Listenabsatz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Auflagen müss</w:t>
      </w:r>
      <w:r w:rsidR="00EB0EF3" w:rsidRPr="009B3E81">
        <w:rPr>
          <w:rFonts w:ascii="Arial" w:hAnsi="Arial" w:cs="Arial"/>
        </w:rPr>
        <w:t>en die zuständigen Behörden</w:t>
      </w:r>
      <w:r w:rsidR="00320094">
        <w:rPr>
          <w:rFonts w:ascii="Arial" w:hAnsi="Arial" w:cs="Arial"/>
        </w:rPr>
        <w:t xml:space="preserve"> dem Antragsteller </w:t>
      </w:r>
      <w:r w:rsidR="00EB0EF3" w:rsidRPr="009B3E81">
        <w:rPr>
          <w:rFonts w:ascii="Arial" w:hAnsi="Arial" w:cs="Arial"/>
        </w:rPr>
        <w:t xml:space="preserve">somit </w:t>
      </w:r>
      <w:r w:rsidR="005079C4">
        <w:rPr>
          <w:rFonts w:ascii="Arial" w:hAnsi="Arial" w:cs="Arial"/>
        </w:rPr>
        <w:t xml:space="preserve">laut dem Ergebnis des Gutachtens </w:t>
      </w:r>
      <w:r w:rsidR="00D108A7" w:rsidRPr="009B3E81">
        <w:rPr>
          <w:rFonts w:ascii="Arial" w:hAnsi="Arial" w:cs="Arial"/>
        </w:rPr>
        <w:t>zwingend vor</w:t>
      </w:r>
      <w:r w:rsidR="00EB0EF3" w:rsidRPr="009B3E81">
        <w:rPr>
          <w:rFonts w:ascii="Arial" w:hAnsi="Arial" w:cs="Arial"/>
        </w:rPr>
        <w:t>geben:</w:t>
      </w:r>
    </w:p>
    <w:p w:rsidR="00EB0EF3" w:rsidRPr="00EB0EF3" w:rsidRDefault="00EB0EF3" w:rsidP="00EB0EF3">
      <w:pPr>
        <w:pStyle w:val="GleissAufzhlungSpiegelstrich"/>
        <w:numPr>
          <w:ilvl w:val="0"/>
          <w:numId w:val="6"/>
        </w:numPr>
        <w:tabs>
          <w:tab w:val="left" w:pos="1134"/>
        </w:tabs>
        <w:rPr>
          <w:rFonts w:ascii="Arial" w:hAnsi="Arial" w:cs="Arial"/>
        </w:rPr>
      </w:pPr>
      <w:r w:rsidRPr="002F7539">
        <w:rPr>
          <w:rFonts w:ascii="Arial" w:hAnsi="Arial" w:cs="Arial"/>
        </w:rPr>
        <w:t xml:space="preserve">die </w:t>
      </w:r>
      <w:r w:rsidRPr="00EB0EF3">
        <w:rPr>
          <w:rFonts w:ascii="Arial" w:hAnsi="Arial" w:cs="Arial"/>
        </w:rPr>
        <w:t xml:space="preserve">Auflage, dass der Antragsteller die Information nach Ablauf von 6 Monaten seit </w:t>
      </w:r>
      <w:r w:rsidR="00037BB3">
        <w:rPr>
          <w:rFonts w:ascii="Arial" w:hAnsi="Arial" w:cs="Arial"/>
        </w:rPr>
        <w:t>ihrer</w:t>
      </w:r>
      <w:r w:rsidRPr="00EB0EF3">
        <w:rPr>
          <w:rFonts w:ascii="Arial" w:hAnsi="Arial" w:cs="Arial"/>
        </w:rPr>
        <w:t xml:space="preserve"> Entstehung nicht mehr veröffentlichen darf bzw.</w:t>
      </w:r>
      <w:r w:rsidR="00AC02FB">
        <w:rPr>
          <w:rFonts w:ascii="Arial" w:hAnsi="Arial" w:cs="Arial"/>
        </w:rPr>
        <w:t xml:space="preserve"> </w:t>
      </w:r>
      <w:r w:rsidR="00226DA0">
        <w:rPr>
          <w:rFonts w:ascii="Arial" w:hAnsi="Arial" w:cs="Arial"/>
        </w:rPr>
        <w:t>die Informationen spätestens dann zu löschen sind.</w:t>
      </w:r>
      <w:r w:rsidRPr="00EB0EF3">
        <w:rPr>
          <w:rFonts w:ascii="Arial" w:hAnsi="Arial" w:cs="Arial"/>
        </w:rPr>
        <w:t xml:space="preserve"> </w:t>
      </w:r>
    </w:p>
    <w:p w:rsidR="002C40CF" w:rsidRPr="00A120A4" w:rsidRDefault="00EB0EF3" w:rsidP="00A120A4">
      <w:pPr>
        <w:pStyle w:val="GleissAufzhlungSpiegelstrich"/>
        <w:numPr>
          <w:ilvl w:val="0"/>
          <w:numId w:val="6"/>
        </w:numPr>
        <w:tabs>
          <w:tab w:val="left" w:pos="1134"/>
        </w:tabs>
        <w:rPr>
          <w:rFonts w:ascii="Arial" w:hAnsi="Arial" w:cs="Arial"/>
          <w:b/>
        </w:rPr>
      </w:pPr>
      <w:r w:rsidRPr="00EB0EF3">
        <w:rPr>
          <w:rFonts w:ascii="Arial" w:hAnsi="Arial" w:cs="Arial"/>
        </w:rPr>
        <w:t>die Auflage, dass</w:t>
      </w:r>
      <w:r w:rsidRPr="002F7539">
        <w:rPr>
          <w:rFonts w:ascii="Arial" w:hAnsi="Arial" w:cs="Arial"/>
        </w:rPr>
        <w:t xml:space="preserve"> die Veröffentlichung der herausgegebenen Informationen nicht zulässig ist, wenn die Behörde zu dem Ergebnis gelangt, dass die von ihr zu prüfenden Voraussetzungen des § 40 Abs. 1a LFGB nicht erfüllt sind.</w:t>
      </w:r>
    </w:p>
    <w:p w:rsidR="00342BBD" w:rsidRPr="002F7539" w:rsidRDefault="00342BBD" w:rsidP="00342BBD">
      <w:pPr>
        <w:pStyle w:val="Listenabsatz"/>
        <w:rPr>
          <w:rFonts w:ascii="Arial" w:hAnsi="Arial" w:cs="Arial"/>
        </w:rPr>
      </w:pPr>
    </w:p>
    <w:p w:rsidR="00342BBD" w:rsidRDefault="00342BBD" w:rsidP="002C40C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B3E81">
        <w:rPr>
          <w:rFonts w:ascii="Arial" w:hAnsi="Arial" w:cs="Arial"/>
        </w:rPr>
        <w:t xml:space="preserve">Wettbewerbsrechtlich wäre das Hochladen von negativen Prüfergebnissen durch einen Konkurrenten des betroffenen Betriebes zu missbilligen. Dies </w:t>
      </w:r>
      <w:r w:rsidR="00127F25" w:rsidRPr="009B3E81">
        <w:rPr>
          <w:rFonts w:ascii="Arial" w:hAnsi="Arial" w:cs="Arial"/>
        </w:rPr>
        <w:t>muss</w:t>
      </w:r>
      <w:r w:rsidRPr="009B3E81">
        <w:rPr>
          <w:rFonts w:ascii="Arial" w:hAnsi="Arial" w:cs="Arial"/>
        </w:rPr>
        <w:t xml:space="preserve"> die Behörde </w:t>
      </w:r>
      <w:r w:rsidR="005079C4">
        <w:rPr>
          <w:rFonts w:ascii="Arial" w:hAnsi="Arial" w:cs="Arial"/>
        </w:rPr>
        <w:t xml:space="preserve">laut Gutachten </w:t>
      </w:r>
      <w:r w:rsidR="00127F25" w:rsidRPr="009B3E81">
        <w:rPr>
          <w:rFonts w:ascii="Arial" w:hAnsi="Arial" w:cs="Arial"/>
        </w:rPr>
        <w:t xml:space="preserve">bereits bei der Informationsherausgabe </w:t>
      </w:r>
      <w:r w:rsidRPr="009B3E81">
        <w:rPr>
          <w:rFonts w:ascii="Arial" w:hAnsi="Arial" w:cs="Arial"/>
        </w:rPr>
        <w:t>berücksichtigen</w:t>
      </w:r>
      <w:r w:rsidR="00127F25" w:rsidRPr="009B3E81">
        <w:rPr>
          <w:rFonts w:ascii="Arial" w:hAnsi="Arial" w:cs="Arial"/>
        </w:rPr>
        <w:t xml:space="preserve"> und muss auch diesbezüglich eine entsprechende Auflage erteilen</w:t>
      </w:r>
      <w:r w:rsidR="00A47620" w:rsidRPr="009B3E81">
        <w:rPr>
          <w:rFonts w:ascii="Arial" w:hAnsi="Arial" w:cs="Arial"/>
        </w:rPr>
        <w:t>.</w:t>
      </w:r>
    </w:p>
    <w:p w:rsidR="009108CF" w:rsidRPr="009108CF" w:rsidRDefault="009108CF" w:rsidP="009108CF">
      <w:pPr>
        <w:pStyle w:val="Listenabsatz"/>
        <w:rPr>
          <w:rFonts w:ascii="Arial" w:hAnsi="Arial" w:cs="Arial"/>
        </w:rPr>
      </w:pPr>
    </w:p>
    <w:p w:rsidR="000368B2" w:rsidRPr="00B54ADF" w:rsidRDefault="009108CF" w:rsidP="00B54AD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108CF">
        <w:rPr>
          <w:rFonts w:ascii="Arial" w:hAnsi="Arial" w:cs="Arial"/>
        </w:rPr>
        <w:lastRenderedPageBreak/>
        <w:t xml:space="preserve">Zu beachten ist außerdem, dass das VIG keinen Anspruch auf die Herausgabe vollständiger Prüfberichte gewährt. Nach dem Wortlaut der einzig in Betracht kommenden Anspruchsgrundlage, § 2 Abs. 1 Nr. 1 VIG, besteht ein Anspruch auf freien Zugang nur zu allen Daten über behördlich </w:t>
      </w:r>
      <w:r w:rsidRPr="009108CF">
        <w:rPr>
          <w:rFonts w:ascii="Arial" w:hAnsi="Arial" w:cs="Arial"/>
          <w:b/>
        </w:rPr>
        <w:t xml:space="preserve">festgestellte nicht zulässige Abweichungen von Anforderungen </w:t>
      </w:r>
      <w:r w:rsidRPr="009108CF">
        <w:rPr>
          <w:rFonts w:ascii="Arial" w:hAnsi="Arial" w:cs="Arial"/>
        </w:rPr>
        <w:t>bestimmter lebensmittelrechtlicher Vorschriften</w:t>
      </w:r>
      <w:r>
        <w:rPr>
          <w:rFonts w:ascii="Arial" w:hAnsi="Arial" w:cs="Arial"/>
        </w:rPr>
        <w:t>.</w:t>
      </w:r>
      <w:r w:rsidR="005079C4">
        <w:rPr>
          <w:rFonts w:ascii="Arial" w:hAnsi="Arial" w:cs="Arial"/>
        </w:rPr>
        <w:t xml:space="preserve"> Eine Verpflichtung</w:t>
      </w:r>
      <w:r w:rsidR="00853391">
        <w:rPr>
          <w:rFonts w:ascii="Arial" w:hAnsi="Arial" w:cs="Arial"/>
        </w:rPr>
        <w:t xml:space="preserve"> oder Berechtigung</w:t>
      </w:r>
      <w:r w:rsidR="005079C4">
        <w:rPr>
          <w:rFonts w:ascii="Arial" w:hAnsi="Arial" w:cs="Arial"/>
        </w:rPr>
        <w:t xml:space="preserve"> seitens der Behörde zur Herausgabe der vollständigen Hygieneberichte besteht somit unserer Ansicht nach nicht.</w:t>
      </w:r>
    </w:p>
    <w:p w:rsidR="008622D7" w:rsidRPr="005079C4" w:rsidRDefault="003B3C84" w:rsidP="000D7D73">
      <w:pPr>
        <w:jc w:val="both"/>
        <w:rPr>
          <w:rFonts w:ascii="Arial" w:hAnsi="Arial" w:cs="Arial"/>
          <w:b/>
        </w:rPr>
      </w:pPr>
      <w:r w:rsidRPr="005079C4">
        <w:rPr>
          <w:rFonts w:ascii="Arial" w:hAnsi="Arial" w:cs="Arial"/>
          <w:b/>
        </w:rPr>
        <w:t xml:space="preserve">Hinsichtlich </w:t>
      </w:r>
      <w:r w:rsidR="00A120A4" w:rsidRPr="005079C4">
        <w:rPr>
          <w:rFonts w:ascii="Arial" w:hAnsi="Arial" w:cs="Arial"/>
          <w:b/>
        </w:rPr>
        <w:t>möglicher Ansprüche</w:t>
      </w:r>
      <w:r w:rsidRPr="005079C4">
        <w:rPr>
          <w:rFonts w:ascii="Arial" w:hAnsi="Arial" w:cs="Arial"/>
          <w:b/>
        </w:rPr>
        <w:t xml:space="preserve"> gegen Wettbewerber, Antragsteller und den Portalbetreiber </w:t>
      </w:r>
      <w:r w:rsidR="00000DA2" w:rsidRPr="005079C4">
        <w:rPr>
          <w:rFonts w:ascii="Arial" w:hAnsi="Arial" w:cs="Arial"/>
          <w:b/>
        </w:rPr>
        <w:t xml:space="preserve">kommt das </w:t>
      </w:r>
      <w:r w:rsidR="008622D7" w:rsidRPr="005079C4">
        <w:rPr>
          <w:rFonts w:ascii="Arial" w:hAnsi="Arial" w:cs="Arial"/>
          <w:b/>
        </w:rPr>
        <w:t xml:space="preserve">Rechtsgutachten zu folgenden wesentlichen Ergebnissen: </w:t>
      </w:r>
    </w:p>
    <w:p w:rsidR="00A47620" w:rsidRDefault="0011594D" w:rsidP="000D7D7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betroffenen Unternehmen stehen wettbewerbsrechtliche</w:t>
      </w:r>
      <w:r w:rsidR="00A47620">
        <w:rPr>
          <w:rFonts w:ascii="Arial" w:hAnsi="Arial" w:cs="Arial"/>
        </w:rPr>
        <w:t xml:space="preserve"> und unter Umständen auch privatrechtliche und datenschutzrechtliche Ansprüche gegen Hochlader von Kontrollergebnissen</w:t>
      </w:r>
      <w:r w:rsidR="00AC5DA8">
        <w:rPr>
          <w:rFonts w:ascii="Arial" w:hAnsi="Arial" w:cs="Arial"/>
        </w:rPr>
        <w:t xml:space="preserve"> zu</w:t>
      </w:r>
      <w:r w:rsidR="00A47620">
        <w:rPr>
          <w:rFonts w:ascii="Arial" w:hAnsi="Arial" w:cs="Arial"/>
        </w:rPr>
        <w:t>, die Wettbewerber des betroffenen Betriebs sind</w:t>
      </w:r>
      <w:r w:rsidR="00AC5DA8">
        <w:rPr>
          <w:rFonts w:ascii="Arial" w:hAnsi="Arial" w:cs="Arial"/>
        </w:rPr>
        <w:t>.</w:t>
      </w:r>
    </w:p>
    <w:p w:rsidR="00A47620" w:rsidRDefault="00A47620" w:rsidP="000D7D73">
      <w:pPr>
        <w:pStyle w:val="Listenabsatz"/>
        <w:ind w:left="360"/>
        <w:jc w:val="both"/>
        <w:rPr>
          <w:rFonts w:ascii="Arial" w:hAnsi="Arial" w:cs="Arial"/>
        </w:rPr>
      </w:pPr>
    </w:p>
    <w:p w:rsidR="006B3F0B" w:rsidRDefault="00A47620" w:rsidP="000D7D7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betroffenen Unternehmen stehen zivilrechtliche Ansprüche gegen das Hochladen von negativen unwahren Prüfergebnissen durch private Hoc</w:t>
      </w:r>
      <w:r w:rsidR="00B50382">
        <w:rPr>
          <w:rFonts w:ascii="Arial" w:hAnsi="Arial" w:cs="Arial"/>
        </w:rPr>
        <w:t>hlader zu. Nach Ablauf von 6</w:t>
      </w:r>
      <w:r>
        <w:rPr>
          <w:rFonts w:ascii="Arial" w:hAnsi="Arial" w:cs="Arial"/>
        </w:rPr>
        <w:t xml:space="preserve"> Monaten nach Abschluss der behördlichen Prüfungsentscheidung bestehen auch </w:t>
      </w:r>
      <w:r w:rsidR="000D7D73">
        <w:rPr>
          <w:rFonts w:ascii="Arial" w:hAnsi="Arial" w:cs="Arial"/>
        </w:rPr>
        <w:t xml:space="preserve">zivilrechtliche </w:t>
      </w:r>
      <w:r>
        <w:rPr>
          <w:rFonts w:ascii="Arial" w:hAnsi="Arial" w:cs="Arial"/>
        </w:rPr>
        <w:t>Ansprüche gegen private Hochlader bezogen auf nega</w:t>
      </w:r>
      <w:r w:rsidR="000D7D73">
        <w:rPr>
          <w:rFonts w:ascii="Arial" w:hAnsi="Arial" w:cs="Arial"/>
        </w:rPr>
        <w:t>tive wahre Kontrollergebnisse</w:t>
      </w:r>
      <w:r>
        <w:rPr>
          <w:rFonts w:ascii="Arial" w:hAnsi="Arial" w:cs="Arial"/>
        </w:rPr>
        <w:t>.</w:t>
      </w:r>
      <w:r w:rsidR="000D7D73">
        <w:rPr>
          <w:rFonts w:ascii="Arial" w:hAnsi="Arial" w:cs="Arial"/>
        </w:rPr>
        <w:t xml:space="preserve"> Auch sofern die Veröffentlichung einen Verstoß gegen eine behördliche Auflage darstellt, bestünden solche Ansprüche. Darüber hinaus bestehen unter Umständen </w:t>
      </w:r>
      <w:r w:rsidR="00E06753">
        <w:rPr>
          <w:rFonts w:ascii="Arial" w:hAnsi="Arial" w:cs="Arial"/>
        </w:rPr>
        <w:t xml:space="preserve">auch </w:t>
      </w:r>
      <w:r w:rsidR="000D7D73">
        <w:rPr>
          <w:rFonts w:ascii="Arial" w:hAnsi="Arial" w:cs="Arial"/>
        </w:rPr>
        <w:t>datenschutzrechtliche Ansprüche gegenüber privaten Nutzern der Plattform.</w:t>
      </w:r>
    </w:p>
    <w:p w:rsidR="00926F6D" w:rsidRPr="00926F6D" w:rsidRDefault="00926F6D" w:rsidP="00926F6D">
      <w:pPr>
        <w:pStyle w:val="Listenabsatz"/>
        <w:rPr>
          <w:rFonts w:ascii="Arial" w:hAnsi="Arial" w:cs="Arial"/>
        </w:rPr>
      </w:pPr>
    </w:p>
    <w:p w:rsidR="00926F6D" w:rsidRDefault="00926F6D" w:rsidP="000D7D7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Dieselben Ansprüche, die gegen private Hochlader bestehen, können auch gegen den Plattformb</w:t>
      </w:r>
      <w:r w:rsidR="00E06753">
        <w:rPr>
          <w:rFonts w:ascii="Arial" w:hAnsi="Arial" w:cs="Arial"/>
        </w:rPr>
        <w:t>etreiber geltend gemacht werden, da dieser sich die hochg</w:t>
      </w:r>
      <w:r w:rsidR="00167E96">
        <w:rPr>
          <w:rFonts w:ascii="Arial" w:hAnsi="Arial" w:cs="Arial"/>
        </w:rPr>
        <w:t xml:space="preserve">eladenen Kontrollergebnisse zu </w:t>
      </w:r>
      <w:proofErr w:type="gramStart"/>
      <w:r w:rsidR="00167E96">
        <w:rPr>
          <w:rFonts w:ascii="Arial" w:hAnsi="Arial" w:cs="Arial"/>
        </w:rPr>
        <w:t>e</w:t>
      </w:r>
      <w:r w:rsidR="00E06753">
        <w:rPr>
          <w:rFonts w:ascii="Arial" w:hAnsi="Arial" w:cs="Arial"/>
        </w:rPr>
        <w:t>igen</w:t>
      </w:r>
      <w:proofErr w:type="gramEnd"/>
      <w:r w:rsidR="00E06753">
        <w:rPr>
          <w:rFonts w:ascii="Arial" w:hAnsi="Arial" w:cs="Arial"/>
        </w:rPr>
        <w:t xml:space="preserve"> macht.</w:t>
      </w:r>
    </w:p>
    <w:p w:rsidR="00C50C5B" w:rsidRDefault="00743936" w:rsidP="00E0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neuesten Entwicklungen in Sachen „</w:t>
      </w:r>
      <w:proofErr w:type="spellStart"/>
      <w:r>
        <w:rPr>
          <w:rFonts w:ascii="Arial" w:hAnsi="Arial" w:cs="Arial"/>
        </w:rPr>
        <w:t>Topf</w:t>
      </w:r>
      <w:proofErr w:type="spellEnd"/>
      <w:r>
        <w:rPr>
          <w:rFonts w:ascii="Arial" w:hAnsi="Arial" w:cs="Arial"/>
        </w:rPr>
        <w:t xml:space="preserve"> Secret“ bitten wir beim Umgang mit entsprechenden Anträgen zu berücksichtigen. </w:t>
      </w:r>
    </w:p>
    <w:p w:rsidR="00E06753" w:rsidRDefault="00C50C5B" w:rsidP="00E0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teilen Sie uns </w:t>
      </w:r>
      <w:r w:rsidR="005443B4">
        <w:rPr>
          <w:rFonts w:ascii="Arial" w:hAnsi="Arial" w:cs="Arial"/>
        </w:rPr>
        <w:t xml:space="preserve">mit, wie </w:t>
      </w:r>
      <w:r w:rsidR="000368B2">
        <w:rPr>
          <w:rFonts w:ascii="Arial" w:hAnsi="Arial" w:cs="Arial"/>
        </w:rPr>
        <w:t xml:space="preserve">angesichts der Gutachtenergebnisse und der aktuellen einschlägigen Rechtsprechung </w:t>
      </w:r>
      <w:r w:rsidR="005443B4">
        <w:rPr>
          <w:rFonts w:ascii="Arial" w:hAnsi="Arial" w:cs="Arial"/>
        </w:rPr>
        <w:t>auf behördlicher Ebene künftig mit VIG-Anträgen, die über „</w:t>
      </w:r>
      <w:proofErr w:type="spellStart"/>
      <w:r w:rsidR="005443B4">
        <w:rPr>
          <w:rFonts w:ascii="Arial" w:hAnsi="Arial" w:cs="Arial"/>
        </w:rPr>
        <w:t>Topf</w:t>
      </w:r>
      <w:proofErr w:type="spellEnd"/>
      <w:r w:rsidR="005443B4">
        <w:rPr>
          <w:rFonts w:ascii="Arial" w:hAnsi="Arial" w:cs="Arial"/>
        </w:rPr>
        <w:t xml:space="preserve"> Secret“ gestellt werden, umgegangen wird. </w:t>
      </w:r>
      <w:r>
        <w:rPr>
          <w:rFonts w:ascii="Arial" w:hAnsi="Arial" w:cs="Arial"/>
        </w:rPr>
        <w:t>In Erwartung Ihrer geschätzten Rückäußerung verbleiben wir</w:t>
      </w:r>
    </w:p>
    <w:p w:rsidR="00E06753" w:rsidRDefault="00C50C5B" w:rsidP="00E0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06753" w:rsidRPr="00E06753" w:rsidRDefault="00E06753" w:rsidP="00E06753">
      <w:pPr>
        <w:jc w:val="both"/>
        <w:rPr>
          <w:rFonts w:ascii="Arial" w:hAnsi="Arial" w:cs="Arial"/>
        </w:rPr>
      </w:pPr>
      <w:r w:rsidRPr="00E06753">
        <w:rPr>
          <w:rFonts w:ascii="Arial" w:hAnsi="Arial" w:cs="Arial"/>
          <w:highlight w:val="yellow"/>
        </w:rPr>
        <w:t>Unterschrift</w:t>
      </w:r>
      <w:r>
        <w:rPr>
          <w:rFonts w:ascii="Arial" w:hAnsi="Arial" w:cs="Arial"/>
        </w:rPr>
        <w:t xml:space="preserve"> </w:t>
      </w:r>
    </w:p>
    <w:p w:rsidR="002F7539" w:rsidRDefault="002F7539" w:rsidP="008622D7">
      <w:pPr>
        <w:pStyle w:val="Listenabsatz"/>
        <w:ind w:left="0"/>
        <w:jc w:val="both"/>
      </w:pPr>
    </w:p>
    <w:sectPr w:rsidR="002F7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1" w:rsidRDefault="003317E1" w:rsidP="003317E1">
      <w:pPr>
        <w:spacing w:after="0" w:line="240" w:lineRule="auto"/>
      </w:pPr>
      <w:r>
        <w:separator/>
      </w:r>
    </w:p>
  </w:endnote>
  <w:endnote w:type="continuationSeparator" w:id="0">
    <w:p w:rsidR="003317E1" w:rsidRDefault="003317E1" w:rsidP="0033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1" w:rsidRDefault="003317E1" w:rsidP="003317E1">
      <w:pPr>
        <w:spacing w:after="0" w:line="240" w:lineRule="auto"/>
      </w:pPr>
      <w:r>
        <w:separator/>
      </w:r>
    </w:p>
  </w:footnote>
  <w:footnote w:type="continuationSeparator" w:id="0">
    <w:p w:rsidR="003317E1" w:rsidRDefault="003317E1" w:rsidP="003317E1">
      <w:pPr>
        <w:spacing w:after="0" w:line="240" w:lineRule="auto"/>
      </w:pPr>
      <w:r>
        <w:continuationSeparator/>
      </w:r>
    </w:p>
  </w:footnote>
  <w:footnote w:id="1">
    <w:p w:rsidR="003317E1" w:rsidRPr="003317E1" w:rsidRDefault="003317E1" w:rsidP="0033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7E1">
        <w:rPr>
          <w:rStyle w:val="Funotenzeichen"/>
          <w:rFonts w:ascii="Arial" w:hAnsi="Arial" w:cs="Arial"/>
        </w:rPr>
        <w:footnoteRef/>
      </w:r>
      <w:r w:rsidRPr="003317E1">
        <w:rPr>
          <w:rFonts w:ascii="Arial" w:hAnsi="Arial" w:cs="Arial"/>
        </w:rPr>
        <w:t xml:space="preserve"> </w:t>
      </w:r>
      <w:r w:rsidRPr="003317E1">
        <w:rPr>
          <w:rFonts w:ascii="Arial" w:hAnsi="Arial" w:cs="Arial"/>
          <w:sz w:val="18"/>
          <w:szCs w:val="18"/>
        </w:rPr>
        <w:t>BT-</w:t>
      </w:r>
      <w:proofErr w:type="spellStart"/>
      <w:r w:rsidRPr="003317E1">
        <w:rPr>
          <w:rFonts w:ascii="Arial" w:hAnsi="Arial" w:cs="Arial"/>
          <w:sz w:val="18"/>
          <w:szCs w:val="18"/>
        </w:rPr>
        <w:t>Drs</w:t>
      </w:r>
      <w:proofErr w:type="spellEnd"/>
      <w:r w:rsidRPr="003317E1">
        <w:rPr>
          <w:rFonts w:ascii="Arial" w:hAnsi="Arial" w:cs="Arial"/>
          <w:sz w:val="18"/>
          <w:szCs w:val="18"/>
        </w:rPr>
        <w:t xml:space="preserve">. </w:t>
      </w:r>
      <w:r w:rsidR="00227AD2">
        <w:rPr>
          <w:rFonts w:ascii="Arial" w:hAnsi="Arial" w:cs="Arial"/>
          <w:sz w:val="18"/>
          <w:szCs w:val="18"/>
        </w:rPr>
        <w:t>19/</w:t>
      </w:r>
      <w:r w:rsidRPr="003317E1">
        <w:rPr>
          <w:rFonts w:ascii="Arial" w:hAnsi="Arial" w:cs="Arial"/>
          <w:sz w:val="18"/>
          <w:szCs w:val="18"/>
        </w:rPr>
        <w:t>4726; BR-</w:t>
      </w:r>
      <w:proofErr w:type="spellStart"/>
      <w:r w:rsidRPr="003317E1">
        <w:rPr>
          <w:rFonts w:ascii="Arial" w:hAnsi="Arial" w:cs="Arial"/>
          <w:sz w:val="18"/>
          <w:szCs w:val="18"/>
        </w:rPr>
        <w:t>Drs</w:t>
      </w:r>
      <w:proofErr w:type="spellEnd"/>
      <w:r w:rsidRPr="003317E1">
        <w:rPr>
          <w:rFonts w:ascii="Arial" w:hAnsi="Arial" w:cs="Arial"/>
          <w:sz w:val="18"/>
          <w:szCs w:val="18"/>
        </w:rPr>
        <w:t xml:space="preserve">. </w:t>
      </w:r>
      <w:r w:rsidR="00227AD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24/19 und 124/1/19</w:t>
      </w:r>
      <w:r w:rsidRPr="003317E1">
        <w:rPr>
          <w:rFonts w:ascii="Arial" w:hAnsi="Arial" w:cs="Arial"/>
          <w:sz w:val="18"/>
          <w:szCs w:val="18"/>
        </w:rPr>
        <w:t>. Der Bundesrat hat am 12. April 2019 beschlossen, den</w:t>
      </w:r>
    </w:p>
    <w:p w:rsidR="003317E1" w:rsidRPr="003317E1" w:rsidRDefault="003317E1" w:rsidP="00C9422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3317E1">
        <w:rPr>
          <w:rFonts w:ascii="Arial" w:hAnsi="Arial" w:cs="Arial"/>
          <w:sz w:val="18"/>
          <w:szCs w:val="18"/>
        </w:rPr>
        <w:t>Antrag nach Art, 77 Abs.</w:t>
      </w:r>
      <w:r w:rsidR="00287474">
        <w:rPr>
          <w:rFonts w:ascii="Arial" w:hAnsi="Arial" w:cs="Arial"/>
          <w:sz w:val="18"/>
          <w:szCs w:val="18"/>
        </w:rPr>
        <w:t xml:space="preserve"> </w:t>
      </w:r>
      <w:r w:rsidRPr="003317E1">
        <w:rPr>
          <w:rFonts w:ascii="Arial" w:hAnsi="Arial" w:cs="Arial"/>
          <w:sz w:val="18"/>
          <w:szCs w:val="18"/>
        </w:rPr>
        <w:t>2 GG nicht zu stellen und die Bundesregierung in einer begleitenden Entschließung</w:t>
      </w:r>
    </w:p>
    <w:p w:rsidR="003317E1" w:rsidRPr="003317E1" w:rsidRDefault="00287474" w:rsidP="00C94220">
      <w:pPr>
        <w:autoSpaceDE w:val="0"/>
        <w:autoSpaceDN w:val="0"/>
        <w:adjustRightInd w:val="0"/>
        <w:spacing w:after="0" w:line="240" w:lineRule="auto"/>
        <w:ind w:left="142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317E1" w:rsidRPr="003317E1">
        <w:rPr>
          <w:rFonts w:ascii="Arial" w:hAnsi="Arial" w:cs="Arial"/>
          <w:sz w:val="18"/>
          <w:szCs w:val="18"/>
        </w:rPr>
        <w:t>ufgefordert, für einen bundeseinheitlichen Vollzug des Gesetzes zu sorgen</w:t>
      </w:r>
      <w:r w:rsidR="003317E1">
        <w:rPr>
          <w:rFonts w:ascii="Arial" w:hAnsi="Arial" w:cs="Arial"/>
          <w:sz w:val="18"/>
          <w:szCs w:val="18"/>
        </w:rPr>
        <w:t>.</w:t>
      </w:r>
    </w:p>
    <w:p w:rsidR="003317E1" w:rsidRDefault="003317E1" w:rsidP="003317E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18C"/>
    <w:multiLevelType w:val="hybridMultilevel"/>
    <w:tmpl w:val="1B1EC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F37DD"/>
    <w:multiLevelType w:val="multilevel"/>
    <w:tmpl w:val="749016CE"/>
    <w:numStyleLink w:val="GleissAufzhlung"/>
  </w:abstractNum>
  <w:abstractNum w:abstractNumId="2">
    <w:nsid w:val="413A076E"/>
    <w:multiLevelType w:val="hybridMultilevel"/>
    <w:tmpl w:val="86C0E28C"/>
    <w:lvl w:ilvl="0" w:tplc="C362FAFA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BB144A"/>
    <w:multiLevelType w:val="multilevel"/>
    <w:tmpl w:val="749016CE"/>
    <w:styleLink w:val="GleissAufzhlung"/>
    <w:lvl w:ilvl="0">
      <w:start w:val="1"/>
      <w:numFmt w:val="bullet"/>
      <w:pStyle w:val="GleissAufzhlungSpiegelstrich"/>
      <w:lvlText w:val="–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GleissAufzhlungPunkt"/>
      <w:lvlText w:val="●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pStyle w:val="GleissAufzhlungKstchen"/>
      <w:lvlText w:val="■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color w:val="auto"/>
        <w:sz w:val="16"/>
      </w:rPr>
    </w:lvl>
    <w:lvl w:ilvl="3">
      <w:start w:val="1"/>
      <w:numFmt w:val="none"/>
      <w:lvlText w:val=""/>
      <w:lvlJc w:val="left"/>
      <w:pPr>
        <w:ind w:left="2574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934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94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5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14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74" w:hanging="360"/>
      </w:pPr>
      <w:rPr>
        <w:rFonts w:hint="default"/>
      </w:rPr>
    </w:lvl>
  </w:abstractNum>
  <w:abstractNum w:abstractNumId="4">
    <w:nsid w:val="50127BA6"/>
    <w:multiLevelType w:val="hybridMultilevel"/>
    <w:tmpl w:val="BC36F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10F17"/>
    <w:multiLevelType w:val="hybridMultilevel"/>
    <w:tmpl w:val="9AE4B762"/>
    <w:lvl w:ilvl="0" w:tplc="483A262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747FDF"/>
    <w:multiLevelType w:val="hybridMultilevel"/>
    <w:tmpl w:val="F3C8C8BE"/>
    <w:lvl w:ilvl="0" w:tplc="3A204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5"/>
    <w:rsid w:val="00000DA2"/>
    <w:rsid w:val="000306A4"/>
    <w:rsid w:val="000368B2"/>
    <w:rsid w:val="00037BB3"/>
    <w:rsid w:val="00094445"/>
    <w:rsid w:val="000B60A6"/>
    <w:rsid w:val="000B6197"/>
    <w:rsid w:val="000D7D73"/>
    <w:rsid w:val="0011594D"/>
    <w:rsid w:val="00127F25"/>
    <w:rsid w:val="00167E96"/>
    <w:rsid w:val="001A483D"/>
    <w:rsid w:val="001B44B7"/>
    <w:rsid w:val="001F3318"/>
    <w:rsid w:val="00226DA0"/>
    <w:rsid w:val="00227AD2"/>
    <w:rsid w:val="002710BD"/>
    <w:rsid w:val="00287474"/>
    <w:rsid w:val="00290E1E"/>
    <w:rsid w:val="002A5A25"/>
    <w:rsid w:val="002C40CF"/>
    <w:rsid w:val="002C51BF"/>
    <w:rsid w:val="002C56DF"/>
    <w:rsid w:val="002E6DDF"/>
    <w:rsid w:val="002F7539"/>
    <w:rsid w:val="00320094"/>
    <w:rsid w:val="003317E1"/>
    <w:rsid w:val="00342BBD"/>
    <w:rsid w:val="003B3C84"/>
    <w:rsid w:val="0040065B"/>
    <w:rsid w:val="0046702A"/>
    <w:rsid w:val="00470335"/>
    <w:rsid w:val="00477A54"/>
    <w:rsid w:val="005079C4"/>
    <w:rsid w:val="00527BB8"/>
    <w:rsid w:val="005422E6"/>
    <w:rsid w:val="005443B4"/>
    <w:rsid w:val="005A095F"/>
    <w:rsid w:val="006450E4"/>
    <w:rsid w:val="006476B5"/>
    <w:rsid w:val="006B3F0B"/>
    <w:rsid w:val="006F6C0C"/>
    <w:rsid w:val="00743936"/>
    <w:rsid w:val="00751817"/>
    <w:rsid w:val="00751999"/>
    <w:rsid w:val="00790E76"/>
    <w:rsid w:val="007917FB"/>
    <w:rsid w:val="00837DB2"/>
    <w:rsid w:val="00853391"/>
    <w:rsid w:val="008622D7"/>
    <w:rsid w:val="00875314"/>
    <w:rsid w:val="008845A2"/>
    <w:rsid w:val="008E557F"/>
    <w:rsid w:val="009108CF"/>
    <w:rsid w:val="00924F26"/>
    <w:rsid w:val="00926F6D"/>
    <w:rsid w:val="00946702"/>
    <w:rsid w:val="00967668"/>
    <w:rsid w:val="00977C67"/>
    <w:rsid w:val="009A0EB7"/>
    <w:rsid w:val="009B3E81"/>
    <w:rsid w:val="00A120A4"/>
    <w:rsid w:val="00A47620"/>
    <w:rsid w:val="00AC02FB"/>
    <w:rsid w:val="00AC5DA8"/>
    <w:rsid w:val="00AE6DB8"/>
    <w:rsid w:val="00B50382"/>
    <w:rsid w:val="00B54ADF"/>
    <w:rsid w:val="00B60E13"/>
    <w:rsid w:val="00BA659E"/>
    <w:rsid w:val="00C102A7"/>
    <w:rsid w:val="00C50C5B"/>
    <w:rsid w:val="00C76552"/>
    <w:rsid w:val="00C94220"/>
    <w:rsid w:val="00D108A7"/>
    <w:rsid w:val="00D31EF7"/>
    <w:rsid w:val="00E06753"/>
    <w:rsid w:val="00E232C0"/>
    <w:rsid w:val="00E809BF"/>
    <w:rsid w:val="00E93227"/>
    <w:rsid w:val="00EB0EF3"/>
    <w:rsid w:val="00ED51B6"/>
    <w:rsid w:val="00F24EDD"/>
    <w:rsid w:val="00F974FC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668"/>
    <w:pPr>
      <w:ind w:left="720"/>
      <w:contextualSpacing/>
    </w:pPr>
  </w:style>
  <w:style w:type="paragraph" w:customStyle="1" w:styleId="GleissAufzhlungSpiegelstrich">
    <w:name w:val="Gleiss Aufzählung Spiegelstrich"/>
    <w:basedOn w:val="Standard"/>
    <w:qFormat/>
    <w:rsid w:val="002F7539"/>
    <w:pPr>
      <w:numPr>
        <w:numId w:val="5"/>
      </w:numPr>
      <w:tabs>
        <w:tab w:val="clear" w:pos="2268"/>
      </w:tabs>
      <w:spacing w:line="300" w:lineRule="atLeast"/>
      <w:ind w:left="1134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GleissAufzhlungPunkt">
    <w:name w:val="Gleiss Aufzählung Punkt"/>
    <w:basedOn w:val="GleissAufzhlungSpiegelstrich"/>
    <w:qFormat/>
    <w:rsid w:val="002F7539"/>
    <w:pPr>
      <w:numPr>
        <w:ilvl w:val="1"/>
      </w:numPr>
      <w:tabs>
        <w:tab w:val="clear" w:pos="2268"/>
      </w:tabs>
      <w:ind w:left="1134"/>
    </w:pPr>
  </w:style>
  <w:style w:type="paragraph" w:customStyle="1" w:styleId="GleissAufzhlungKstchen">
    <w:name w:val="Gleiss Aufzählung Kästchen"/>
    <w:basedOn w:val="GleissAufzhlungPunkt"/>
    <w:qFormat/>
    <w:rsid w:val="002F7539"/>
    <w:pPr>
      <w:numPr>
        <w:ilvl w:val="2"/>
      </w:numPr>
      <w:tabs>
        <w:tab w:val="clear" w:pos="2268"/>
      </w:tabs>
      <w:ind w:left="1134"/>
    </w:pPr>
  </w:style>
  <w:style w:type="numbering" w:customStyle="1" w:styleId="GleissAufzhlung">
    <w:name w:val="Gleiss Aufzählung"/>
    <w:basedOn w:val="KeineListe"/>
    <w:uiPriority w:val="99"/>
    <w:rsid w:val="002F7539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33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7E1"/>
  </w:style>
  <w:style w:type="paragraph" w:styleId="Fuzeile">
    <w:name w:val="footer"/>
    <w:basedOn w:val="Standard"/>
    <w:link w:val="FuzeileZchn"/>
    <w:uiPriority w:val="99"/>
    <w:unhideWhenUsed/>
    <w:rsid w:val="0033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7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7E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17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17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1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668"/>
    <w:pPr>
      <w:ind w:left="720"/>
      <w:contextualSpacing/>
    </w:pPr>
  </w:style>
  <w:style w:type="paragraph" w:customStyle="1" w:styleId="GleissAufzhlungSpiegelstrich">
    <w:name w:val="Gleiss Aufzählung Spiegelstrich"/>
    <w:basedOn w:val="Standard"/>
    <w:qFormat/>
    <w:rsid w:val="002F7539"/>
    <w:pPr>
      <w:numPr>
        <w:numId w:val="5"/>
      </w:numPr>
      <w:tabs>
        <w:tab w:val="clear" w:pos="2268"/>
      </w:tabs>
      <w:spacing w:line="300" w:lineRule="atLeast"/>
      <w:ind w:left="1134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GleissAufzhlungPunkt">
    <w:name w:val="Gleiss Aufzählung Punkt"/>
    <w:basedOn w:val="GleissAufzhlungSpiegelstrich"/>
    <w:qFormat/>
    <w:rsid w:val="002F7539"/>
    <w:pPr>
      <w:numPr>
        <w:ilvl w:val="1"/>
      </w:numPr>
      <w:tabs>
        <w:tab w:val="clear" w:pos="2268"/>
      </w:tabs>
      <w:ind w:left="1134"/>
    </w:pPr>
  </w:style>
  <w:style w:type="paragraph" w:customStyle="1" w:styleId="GleissAufzhlungKstchen">
    <w:name w:val="Gleiss Aufzählung Kästchen"/>
    <w:basedOn w:val="GleissAufzhlungPunkt"/>
    <w:qFormat/>
    <w:rsid w:val="002F7539"/>
    <w:pPr>
      <w:numPr>
        <w:ilvl w:val="2"/>
      </w:numPr>
      <w:tabs>
        <w:tab w:val="clear" w:pos="2268"/>
      </w:tabs>
      <w:ind w:left="1134"/>
    </w:pPr>
  </w:style>
  <w:style w:type="numbering" w:customStyle="1" w:styleId="GleissAufzhlung">
    <w:name w:val="Gleiss Aufzählung"/>
    <w:basedOn w:val="KeineListe"/>
    <w:uiPriority w:val="99"/>
    <w:rsid w:val="002F7539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33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7E1"/>
  </w:style>
  <w:style w:type="paragraph" w:styleId="Fuzeile">
    <w:name w:val="footer"/>
    <w:basedOn w:val="Standard"/>
    <w:link w:val="FuzeileZchn"/>
    <w:uiPriority w:val="99"/>
    <w:unhideWhenUsed/>
    <w:rsid w:val="0033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7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7E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17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17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1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2FCE-2881-49D9-88AD-51E695C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6100</Characters>
  <Application>Microsoft Office Word</Application>
  <DocSecurity>0</DocSecurity>
  <Lines>112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Reuter, Christian</dc:creator>
  <cp:keywords/>
  <dc:description/>
  <cp:lastModifiedBy>Reuter, Christian</cp:lastModifiedBy>
  <cp:revision>68</cp:revision>
  <cp:lastPrinted>2019-04-15T16:04:00Z</cp:lastPrinted>
  <dcterms:created xsi:type="dcterms:W3CDTF">2019-04-11T07:27:00Z</dcterms:created>
  <dcterms:modified xsi:type="dcterms:W3CDTF">2019-04-16T11:11:00Z</dcterms:modified>
</cp:coreProperties>
</file>